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7ACD" w14:textId="4F408512" w:rsidR="007A4A4C" w:rsidRPr="00E44FB5" w:rsidRDefault="00D93CFD" w:rsidP="00E44FB5">
      <w:pPr>
        <w:jc w:val="both"/>
        <w:rPr>
          <w:rStyle w:val="IntenseEmphasis"/>
        </w:rPr>
      </w:pPr>
      <w:r w:rsidRPr="00E44FB5">
        <w:rPr>
          <w:rStyle w:val="IntenseEmphasis"/>
        </w:rPr>
        <w:t>Crises</w:t>
      </w:r>
    </w:p>
    <w:p w14:paraId="793DE89D" w14:textId="5711D083" w:rsidR="007A4A4C" w:rsidRPr="00E44FB5" w:rsidRDefault="007A4A4C" w:rsidP="00E44FB5">
      <w:pPr>
        <w:jc w:val="both"/>
        <w:rPr>
          <w:rFonts w:ascii="Garamond" w:hAnsi="Garamond"/>
          <w:lang w:val="en-GB"/>
        </w:rPr>
      </w:pPr>
    </w:p>
    <w:p w14:paraId="617906A2" w14:textId="7B0054E8" w:rsidR="007A4A4C" w:rsidRPr="00E44FB5" w:rsidRDefault="007A4A4C" w:rsidP="00E44FB5">
      <w:pPr>
        <w:jc w:val="both"/>
        <w:rPr>
          <w:rFonts w:ascii="Garamond" w:hAnsi="Garamond"/>
          <w:lang w:val="en-GB"/>
        </w:rPr>
      </w:pPr>
    </w:p>
    <w:p w14:paraId="77692034" w14:textId="345CEFFC" w:rsidR="00EB5D86" w:rsidRPr="00E44FB5" w:rsidRDefault="00D93CFD" w:rsidP="00E44FB5">
      <w:pPr>
        <w:jc w:val="both"/>
        <w:rPr>
          <w:rFonts w:ascii="Garamond" w:hAnsi="Garamond"/>
          <w:b/>
          <w:bCs/>
          <w:color w:val="0E101A"/>
          <w:u w:val="single"/>
          <w:lang w:val="en-GB"/>
        </w:rPr>
      </w:pPr>
      <w:bookmarkStart w:id="0" w:name="_Toc113361667"/>
      <w:r w:rsidRPr="00E44FB5">
        <w:rPr>
          <w:rStyle w:val="Heading3Char"/>
          <w:rFonts w:ascii="Garamond" w:hAnsi="Garamond"/>
          <w:b/>
          <w:bCs/>
          <w:u w:val="single"/>
        </w:rPr>
        <w:t xml:space="preserve">Round </w:t>
      </w:r>
      <w:r w:rsidR="00AF179A">
        <w:rPr>
          <w:rStyle w:val="Heading3Char"/>
          <w:rFonts w:ascii="Garamond" w:hAnsi="Garamond"/>
          <w:b/>
          <w:bCs/>
          <w:u w:val="single"/>
          <w:lang w:val="en-GB"/>
        </w:rPr>
        <w:t>0</w:t>
      </w:r>
      <w:r w:rsidRPr="00E44FB5">
        <w:rPr>
          <w:rStyle w:val="Heading3Char"/>
          <w:rFonts w:ascii="Garamond" w:hAnsi="Garamond"/>
          <w:b/>
          <w:bCs/>
          <w:u w:val="single"/>
        </w:rPr>
        <w:t>: 2023</w:t>
      </w:r>
      <w:bookmarkEnd w:id="0"/>
      <w:r w:rsidRPr="00E44FB5">
        <w:rPr>
          <w:rFonts w:ascii="Garamond" w:hAnsi="Garamond"/>
          <w:b/>
          <w:bCs/>
          <w:color w:val="0E101A"/>
          <w:u w:val="single"/>
        </w:rPr>
        <w:t xml:space="preserve">, </w:t>
      </w:r>
      <w:r w:rsidRPr="00E44FB5">
        <w:rPr>
          <w:rFonts w:ascii="Garamond" w:hAnsi="Garamond"/>
          <w:b/>
          <w:bCs/>
          <w:color w:val="0E101A"/>
          <w:u w:val="single"/>
          <w:lang w:val="en-GB"/>
        </w:rPr>
        <w:t>Energy (in)security, Dummy Round</w:t>
      </w:r>
    </w:p>
    <w:p w14:paraId="17055537" w14:textId="77777777" w:rsidR="00EB5D86" w:rsidRPr="00E44FB5" w:rsidRDefault="00EB5D86" w:rsidP="00E44FB5">
      <w:pPr>
        <w:jc w:val="both"/>
        <w:rPr>
          <w:rFonts w:ascii="Garamond" w:hAnsi="Garamond"/>
          <w:color w:val="0E101A"/>
        </w:rPr>
      </w:pPr>
    </w:p>
    <w:p w14:paraId="42A2EF3B" w14:textId="77777777" w:rsidR="00EB5D86" w:rsidRPr="00E44FB5" w:rsidRDefault="00D93CFD" w:rsidP="00E44FB5">
      <w:pPr>
        <w:jc w:val="both"/>
        <w:rPr>
          <w:rFonts w:ascii="Garamond" w:hAnsi="Garamond"/>
          <w:color w:val="0E101A"/>
          <w:lang w:val="en-GB"/>
        </w:rPr>
      </w:pPr>
      <w:r w:rsidRPr="00E44FB5">
        <w:rPr>
          <w:rFonts w:ascii="Garamond" w:hAnsi="Garamond"/>
          <w:b/>
          <w:bCs/>
          <w:color w:val="000000" w:themeColor="text1"/>
          <w:lang w:val="en-GB"/>
        </w:rPr>
        <w:t>Description:</w:t>
      </w:r>
      <w:r w:rsidRPr="00E44FB5">
        <w:rPr>
          <w:rFonts w:ascii="Garamond" w:hAnsi="Garamond"/>
          <w:color w:val="000000" w:themeColor="text1"/>
          <w:lang w:val="en-GB"/>
        </w:rPr>
        <w:t xml:space="preserve"> Due to the structural and systemic changes triggered by the novel pan-European solidarity </w:t>
      </w:r>
      <w:r w:rsidRPr="00E44FB5">
        <w:rPr>
          <w:rFonts w:ascii="Garamond" w:hAnsi="Garamond"/>
          <w:color w:val="000000" w:themeColor="text1"/>
          <w:u w:val="single"/>
          <w:lang w:val="en-GB"/>
        </w:rPr>
        <w:t>movement</w:t>
      </w:r>
      <w:r w:rsidRPr="00E44FB5">
        <w:rPr>
          <w:rFonts w:ascii="Garamond" w:hAnsi="Garamond"/>
          <w:color w:val="000000" w:themeColor="text1"/>
          <w:lang w:val="en-GB"/>
        </w:rPr>
        <w:t xml:space="preserve">, the Russian Federation instrumentalises the energy supply to try and destabilise the Union and its regional partners (e.g., countries in the Western Balkans, Moldova, etc.). However, apart from the directly triggered energy insecurity in the Russian-European dynamics, there is an underlining global circular energy shortage, predominantly visible in the oil, gas, and electricity markets. The world </w:t>
      </w:r>
      <w:r w:rsidRPr="00E44FB5">
        <w:rPr>
          <w:rFonts w:ascii="Garamond" w:hAnsi="Garamond"/>
          <w:color w:val="0E101A"/>
          <w:lang w:val="en-GB"/>
        </w:rPr>
        <w:t>is facing a reckoning when it comes to energy supply. The heavy reliance on fossil fuels intertwined with the food and energy system, an aspect that led to an increased vulnerability. Furthermore, the dependency on fossil fuels can account for rising carbon emissions, leading to global overheating. The ongoing crisis may have fatal consequences: the lack of access to energy could result in unprecedented food security. Pessimistic projections estimate that if left unresolved, 1 in 3 individuals might be deprived of access to clean cooking. Desperation led to acts of illegal deforestation, and states must find a swift solution to restore energy and food security before the consequences reach a point of no return.</w:t>
      </w:r>
    </w:p>
    <w:p w14:paraId="56C6433D" w14:textId="352B150F" w:rsidR="007A4A4C" w:rsidRDefault="007A4A4C" w:rsidP="00E44FB5">
      <w:pPr>
        <w:jc w:val="both"/>
        <w:rPr>
          <w:rFonts w:ascii="Garamond" w:hAnsi="Garamond"/>
          <w:lang w:val="en-GB"/>
        </w:rPr>
      </w:pPr>
    </w:p>
    <w:p w14:paraId="50D3BA4A" w14:textId="659E7A8D" w:rsidR="00DF6946" w:rsidRDefault="00DF6946" w:rsidP="00E44FB5">
      <w:pPr>
        <w:jc w:val="both"/>
        <w:rPr>
          <w:rFonts w:ascii="Garamond" w:hAnsi="Garamond"/>
          <w:lang w:val="en-GB"/>
        </w:rPr>
      </w:pPr>
    </w:p>
    <w:p w14:paraId="56D7AF0B" w14:textId="6C6F6D03" w:rsidR="00DF6946" w:rsidRPr="00B128FE" w:rsidRDefault="00D93CFD" w:rsidP="00DF6946">
      <w:pPr>
        <w:jc w:val="both"/>
        <w:rPr>
          <w:rFonts w:ascii="Garamond" w:hAnsi="Garamond"/>
          <w:b/>
          <w:bCs/>
          <w:color w:val="0E101A"/>
          <w:u w:val="single"/>
        </w:rPr>
      </w:pPr>
      <w:bookmarkStart w:id="1" w:name="_Toc113361668"/>
      <w:r w:rsidRPr="00B128FE">
        <w:rPr>
          <w:rStyle w:val="Heading3Char"/>
          <w:rFonts w:ascii="Garamond" w:hAnsi="Garamond"/>
          <w:b/>
          <w:bCs/>
          <w:u w:val="single"/>
        </w:rPr>
        <w:t>Round I: 2024</w:t>
      </w:r>
      <w:bookmarkEnd w:id="1"/>
      <w:r w:rsidRPr="00B128FE">
        <w:rPr>
          <w:rFonts w:ascii="Garamond" w:hAnsi="Garamond"/>
          <w:b/>
          <w:bCs/>
          <w:color w:val="0E101A"/>
          <w:u w:val="single"/>
        </w:rPr>
        <w:t xml:space="preserve">, </w:t>
      </w:r>
      <w:r>
        <w:rPr>
          <w:rFonts w:ascii="Garamond" w:hAnsi="Garamond"/>
          <w:b/>
          <w:bCs/>
          <w:color w:val="0E101A"/>
          <w:u w:val="single"/>
          <w:lang w:val="en-GB"/>
        </w:rPr>
        <w:t>blockade of a strait</w:t>
      </w:r>
      <w:r w:rsidR="00AF179A">
        <w:rPr>
          <w:rFonts w:ascii="Garamond" w:hAnsi="Garamond"/>
          <w:b/>
          <w:bCs/>
          <w:color w:val="0E101A"/>
          <w:u w:val="single"/>
          <w:lang w:val="en-GB"/>
        </w:rPr>
        <w:t>s</w:t>
      </w:r>
    </w:p>
    <w:p w14:paraId="2B632B1D" w14:textId="77777777" w:rsidR="00DF6946" w:rsidRPr="00B128FE" w:rsidRDefault="00DF6946" w:rsidP="00DF6946">
      <w:pPr>
        <w:jc w:val="both"/>
        <w:rPr>
          <w:rFonts w:ascii="Garamond" w:hAnsi="Garamond"/>
          <w:b/>
          <w:bCs/>
          <w:color w:val="0E101A"/>
          <w:lang w:val="en-GB"/>
        </w:rPr>
      </w:pPr>
    </w:p>
    <w:p w14:paraId="0BD072FB" w14:textId="736CD971" w:rsidR="00DF6946" w:rsidRPr="00E44FB5" w:rsidRDefault="00D93CFD" w:rsidP="00E44FB5">
      <w:pPr>
        <w:jc w:val="both"/>
        <w:rPr>
          <w:rFonts w:ascii="Garamond" w:hAnsi="Garamond"/>
          <w:lang w:val="en-GB"/>
        </w:rPr>
      </w:pPr>
      <w:r w:rsidRPr="00B128FE">
        <w:rPr>
          <w:rFonts w:ascii="Garamond" w:hAnsi="Garamond"/>
          <w:b/>
          <w:bCs/>
          <w:color w:val="0E101A"/>
          <w:lang w:val="en-GB"/>
        </w:rPr>
        <w:t>Description:</w:t>
      </w:r>
      <w:r w:rsidRPr="00B128FE">
        <w:rPr>
          <w:rFonts w:ascii="Garamond" w:hAnsi="Garamond"/>
          <w:color w:val="0E101A"/>
          <w:lang w:val="en-GB"/>
        </w:rPr>
        <w:t xml:space="preserve"> </w:t>
      </w:r>
      <w:r>
        <w:rPr>
          <w:rFonts w:ascii="Garamond" w:hAnsi="Garamond"/>
          <w:color w:val="0E101A"/>
          <w:lang w:val="en-GB"/>
        </w:rPr>
        <w:t>Due to the ongoing conflict, th</w:t>
      </w:r>
      <w:r w:rsidRPr="00DF6946">
        <w:rPr>
          <w:rFonts w:ascii="Garamond" w:hAnsi="Garamond"/>
          <w:color w:val="0E101A"/>
          <w:lang w:val="en-GB"/>
        </w:rPr>
        <w:t>e Bosphorus and Dardanelles straits connect</w:t>
      </w:r>
      <w:r>
        <w:rPr>
          <w:rFonts w:ascii="Garamond" w:hAnsi="Garamond"/>
          <w:color w:val="0E101A"/>
          <w:lang w:val="en-GB"/>
        </w:rPr>
        <w:t>ing</w:t>
      </w:r>
      <w:r w:rsidRPr="00DF6946">
        <w:rPr>
          <w:rFonts w:ascii="Garamond" w:hAnsi="Garamond"/>
          <w:color w:val="0E101A"/>
          <w:lang w:val="en-GB"/>
        </w:rPr>
        <w:t xml:space="preserve"> the Aegean (part of the Mediterranean), Marmara (Turkey's inland sea), and the Black Sea </w:t>
      </w:r>
      <w:r>
        <w:rPr>
          <w:rFonts w:ascii="Garamond" w:hAnsi="Garamond"/>
          <w:color w:val="0E101A"/>
          <w:lang w:val="en-GB"/>
        </w:rPr>
        <w:t xml:space="preserve">are blocked. Disruptions in </w:t>
      </w:r>
      <w:r w:rsidR="00AF179A">
        <w:rPr>
          <w:rFonts w:ascii="Garamond" w:hAnsi="Garamond"/>
          <w:color w:val="0E101A"/>
          <w:lang w:val="en-GB"/>
        </w:rPr>
        <w:t xml:space="preserve">global </w:t>
      </w:r>
      <w:r>
        <w:rPr>
          <w:rFonts w:ascii="Garamond" w:hAnsi="Garamond"/>
          <w:color w:val="0E101A"/>
          <w:lang w:val="en-GB"/>
        </w:rPr>
        <w:t>supply chains</w:t>
      </w:r>
      <w:r w:rsidR="00AF179A">
        <w:rPr>
          <w:rFonts w:ascii="Garamond" w:hAnsi="Garamond"/>
          <w:color w:val="0E101A"/>
          <w:lang w:val="en-GB"/>
        </w:rPr>
        <w:t xml:space="preserve"> are to be expected. </w:t>
      </w:r>
    </w:p>
    <w:p w14:paraId="14F601C1" w14:textId="31DEC0E2" w:rsidR="00EB5D86" w:rsidRDefault="00EB5D86" w:rsidP="00E44FB5">
      <w:pPr>
        <w:jc w:val="both"/>
        <w:rPr>
          <w:rFonts w:ascii="Garamond" w:hAnsi="Garamond"/>
          <w:lang w:val="en-GB"/>
        </w:rPr>
      </w:pPr>
    </w:p>
    <w:p w14:paraId="499A6941" w14:textId="69CF8751" w:rsidR="00AF179A" w:rsidRPr="00E44FB5" w:rsidRDefault="00D93CFD" w:rsidP="00E44FB5">
      <w:pPr>
        <w:jc w:val="both"/>
        <w:rPr>
          <w:rFonts w:ascii="Garamond" w:hAnsi="Garamond"/>
          <w:lang w:val="en-GB"/>
        </w:rPr>
      </w:pPr>
      <w:r>
        <w:rPr>
          <w:rFonts w:ascii="Garamond" w:hAnsi="Garamond"/>
          <w:lang w:val="en-GB"/>
        </w:rPr>
        <w:t>A red alert for Turkey, Russia and the EU was issued, as these actors are most affected by the crisis.</w:t>
      </w:r>
    </w:p>
    <w:p w14:paraId="4C1A4ED9" w14:textId="45E7CFE5" w:rsidR="00E44FB5" w:rsidRDefault="00E44FB5" w:rsidP="00E44FB5">
      <w:pPr>
        <w:jc w:val="both"/>
        <w:rPr>
          <w:rFonts w:ascii="Garamond" w:hAnsi="Garamond"/>
          <w:lang w:val="en-GB"/>
        </w:rPr>
      </w:pPr>
    </w:p>
    <w:p w14:paraId="691F55F0" w14:textId="7230B88B" w:rsidR="00AF179A" w:rsidRDefault="00AF179A" w:rsidP="00E44FB5">
      <w:pPr>
        <w:jc w:val="both"/>
        <w:rPr>
          <w:rFonts w:ascii="Garamond" w:hAnsi="Garamond"/>
          <w:lang w:val="en-GB"/>
        </w:rPr>
      </w:pPr>
    </w:p>
    <w:p w14:paraId="61A67BEE" w14:textId="4E5D767F" w:rsidR="00AF179A" w:rsidRPr="00AF179A" w:rsidRDefault="00D93CFD" w:rsidP="00AF179A">
      <w:pPr>
        <w:jc w:val="both"/>
        <w:rPr>
          <w:rFonts w:ascii="Garamond" w:hAnsi="Garamond"/>
          <w:b/>
          <w:bCs/>
          <w:color w:val="1F3864" w:themeColor="accent1" w:themeShade="80"/>
          <w:u w:val="single"/>
          <w:lang w:val="en-GB"/>
        </w:rPr>
      </w:pPr>
      <w:r w:rsidRPr="00AF179A">
        <w:rPr>
          <w:rFonts w:ascii="Garamond" w:hAnsi="Garamond"/>
          <w:b/>
          <w:bCs/>
          <w:color w:val="1F3864" w:themeColor="accent1" w:themeShade="80"/>
          <w:u w:val="single"/>
          <w:lang w:val="en-GB"/>
        </w:rPr>
        <w:t>Round I</w:t>
      </w:r>
      <w:r>
        <w:rPr>
          <w:rFonts w:ascii="Garamond" w:hAnsi="Garamond"/>
          <w:b/>
          <w:bCs/>
          <w:color w:val="1F3864" w:themeColor="accent1" w:themeShade="80"/>
          <w:u w:val="single"/>
          <w:lang w:val="en-GB"/>
        </w:rPr>
        <w:t>I</w:t>
      </w:r>
      <w:r w:rsidRPr="00AF179A">
        <w:rPr>
          <w:rFonts w:ascii="Garamond" w:hAnsi="Garamond"/>
          <w:b/>
          <w:bCs/>
          <w:color w:val="1F3864" w:themeColor="accent1" w:themeShade="80"/>
          <w:u w:val="single"/>
          <w:lang w:val="en-GB"/>
        </w:rPr>
        <w:t>: 202</w:t>
      </w:r>
      <w:r>
        <w:rPr>
          <w:rFonts w:ascii="Garamond" w:hAnsi="Garamond"/>
          <w:b/>
          <w:bCs/>
          <w:color w:val="1F3864" w:themeColor="accent1" w:themeShade="80"/>
          <w:u w:val="single"/>
          <w:lang w:val="en-GB"/>
        </w:rPr>
        <w:t>5</w:t>
      </w:r>
      <w:r w:rsidRPr="00AF179A">
        <w:rPr>
          <w:rFonts w:ascii="Garamond" w:hAnsi="Garamond"/>
          <w:b/>
          <w:bCs/>
          <w:color w:val="1F3864" w:themeColor="accent1" w:themeShade="80"/>
          <w:u w:val="single"/>
          <w:lang w:val="en-GB"/>
        </w:rPr>
        <w:t>, Year of sustainable trade</w:t>
      </w:r>
    </w:p>
    <w:p w14:paraId="4AED4F3F" w14:textId="77777777" w:rsidR="00AF179A" w:rsidRPr="00E44FB5" w:rsidRDefault="00AF179A" w:rsidP="00AF179A">
      <w:pPr>
        <w:jc w:val="both"/>
        <w:rPr>
          <w:rFonts w:ascii="Garamond" w:hAnsi="Garamond"/>
          <w:lang w:val="en-GB"/>
        </w:rPr>
      </w:pPr>
    </w:p>
    <w:p w14:paraId="0D061269" w14:textId="149B2246" w:rsidR="00AF179A" w:rsidRDefault="00D93CFD" w:rsidP="00AF179A">
      <w:pPr>
        <w:jc w:val="both"/>
        <w:rPr>
          <w:rFonts w:ascii="Garamond" w:hAnsi="Garamond"/>
          <w:lang w:val="en-GB"/>
        </w:rPr>
      </w:pPr>
      <w:r w:rsidRPr="00E44FB5">
        <w:rPr>
          <w:rFonts w:ascii="Garamond" w:hAnsi="Garamond"/>
          <w:lang w:val="en-GB"/>
        </w:rPr>
        <w:t xml:space="preserve">Description: A massive wave of transnational protests operating under the umbrella of "Trade4FutureGenerations", has gained momentum on the international scene. The organisation encompasses private and public initiatives led by individuals and companies, aiming to pressure governments into adopting more sustainable trade practices. </w:t>
      </w:r>
      <w:r>
        <w:rPr>
          <w:rFonts w:ascii="Garamond" w:hAnsi="Garamond"/>
          <w:lang w:val="en-GB"/>
        </w:rPr>
        <w:t>Against the backdrop of</w:t>
      </w:r>
      <w:r w:rsidRPr="00E44FB5">
        <w:rPr>
          <w:rFonts w:ascii="Garamond" w:hAnsi="Garamond"/>
          <w:lang w:val="en-GB"/>
        </w:rPr>
        <w:t xml:space="preserve"> increasing poverty and inequality resulting from international tensions, sanctions, and lack of cooperation, </w:t>
      </w:r>
      <w:r>
        <w:rPr>
          <w:rFonts w:ascii="Garamond" w:hAnsi="Garamond"/>
          <w:lang w:val="en-GB"/>
        </w:rPr>
        <w:t>a reform of the current system is imminent.</w:t>
      </w:r>
    </w:p>
    <w:p w14:paraId="1E7EA116" w14:textId="7AF691AB" w:rsidR="00AF179A" w:rsidRDefault="00AF179A" w:rsidP="00AF179A">
      <w:pPr>
        <w:jc w:val="both"/>
        <w:rPr>
          <w:rFonts w:ascii="Garamond" w:hAnsi="Garamond"/>
          <w:lang w:val="en-GB"/>
        </w:rPr>
      </w:pPr>
    </w:p>
    <w:p w14:paraId="603F54AA" w14:textId="789FEE39" w:rsidR="00AF179A" w:rsidRPr="00AF179A" w:rsidRDefault="00AF179A" w:rsidP="00AF179A">
      <w:pPr>
        <w:jc w:val="both"/>
        <w:rPr>
          <w:rFonts w:ascii="Garamond" w:hAnsi="Garamond"/>
          <w:b/>
          <w:bCs/>
          <w:u w:val="single"/>
          <w:lang w:val="en-GB"/>
        </w:rPr>
      </w:pPr>
    </w:p>
    <w:p w14:paraId="2A82F333" w14:textId="77777777" w:rsidR="00AF179A" w:rsidRPr="00AF179A" w:rsidRDefault="00AF179A" w:rsidP="00AF179A">
      <w:pPr>
        <w:jc w:val="both"/>
        <w:rPr>
          <w:rFonts w:ascii="Garamond" w:hAnsi="Garamond"/>
          <w:b/>
          <w:bCs/>
          <w:u w:val="single"/>
          <w:lang w:val="en-GB"/>
        </w:rPr>
      </w:pPr>
    </w:p>
    <w:p w14:paraId="7D4E3316" w14:textId="77777777" w:rsidR="00C16FAD" w:rsidRDefault="00C16FAD" w:rsidP="00AF179A">
      <w:pPr>
        <w:jc w:val="both"/>
        <w:rPr>
          <w:rFonts w:ascii="Garamond" w:hAnsi="Garamond"/>
          <w:b/>
          <w:bCs/>
          <w:u w:val="single"/>
          <w:lang w:val="en-GB"/>
        </w:rPr>
      </w:pPr>
    </w:p>
    <w:p w14:paraId="069CD39B" w14:textId="77777777" w:rsidR="00C16FAD" w:rsidRDefault="00C16FAD" w:rsidP="00AF179A">
      <w:pPr>
        <w:jc w:val="both"/>
        <w:rPr>
          <w:rFonts w:ascii="Garamond" w:hAnsi="Garamond"/>
          <w:b/>
          <w:bCs/>
          <w:u w:val="single"/>
          <w:lang w:val="en-GB"/>
        </w:rPr>
      </w:pPr>
    </w:p>
    <w:p w14:paraId="340C40A6" w14:textId="77777777" w:rsidR="00C16FAD" w:rsidRDefault="00C16FAD" w:rsidP="00AF179A">
      <w:pPr>
        <w:jc w:val="both"/>
        <w:rPr>
          <w:rFonts w:ascii="Garamond" w:hAnsi="Garamond"/>
          <w:b/>
          <w:bCs/>
          <w:u w:val="single"/>
          <w:lang w:val="en-GB"/>
        </w:rPr>
      </w:pPr>
    </w:p>
    <w:p w14:paraId="3672BAF5" w14:textId="77777777" w:rsidR="00C16FAD" w:rsidRDefault="00C16FAD" w:rsidP="00AF179A">
      <w:pPr>
        <w:jc w:val="both"/>
        <w:rPr>
          <w:rFonts w:ascii="Garamond" w:hAnsi="Garamond"/>
          <w:b/>
          <w:bCs/>
          <w:u w:val="single"/>
          <w:lang w:val="en-GB"/>
        </w:rPr>
      </w:pPr>
    </w:p>
    <w:p w14:paraId="0D87D197" w14:textId="77777777" w:rsidR="00C16FAD" w:rsidRDefault="00C16FAD" w:rsidP="00AF179A">
      <w:pPr>
        <w:jc w:val="both"/>
        <w:rPr>
          <w:rFonts w:ascii="Garamond" w:hAnsi="Garamond"/>
          <w:b/>
          <w:bCs/>
          <w:u w:val="single"/>
          <w:lang w:val="en-GB"/>
        </w:rPr>
      </w:pPr>
    </w:p>
    <w:p w14:paraId="07EA1BFB" w14:textId="77777777" w:rsidR="00C16FAD" w:rsidRDefault="00C16FAD" w:rsidP="00AF179A">
      <w:pPr>
        <w:jc w:val="both"/>
        <w:rPr>
          <w:rFonts w:ascii="Garamond" w:hAnsi="Garamond"/>
          <w:b/>
          <w:bCs/>
          <w:u w:val="single"/>
          <w:lang w:val="en-GB"/>
        </w:rPr>
      </w:pPr>
    </w:p>
    <w:p w14:paraId="23EC2083" w14:textId="77777777" w:rsidR="00C16FAD" w:rsidRDefault="00C16FAD" w:rsidP="00AF179A">
      <w:pPr>
        <w:jc w:val="both"/>
        <w:rPr>
          <w:rFonts w:ascii="Garamond" w:hAnsi="Garamond"/>
          <w:b/>
          <w:bCs/>
          <w:u w:val="single"/>
          <w:lang w:val="en-GB"/>
        </w:rPr>
      </w:pPr>
    </w:p>
    <w:p w14:paraId="2C1DAB94" w14:textId="77777777" w:rsidR="00C16FAD" w:rsidRDefault="00C16FAD" w:rsidP="00AF179A">
      <w:pPr>
        <w:jc w:val="both"/>
        <w:rPr>
          <w:rFonts w:ascii="Garamond" w:hAnsi="Garamond"/>
          <w:b/>
          <w:bCs/>
          <w:u w:val="single"/>
          <w:lang w:val="en-GB"/>
        </w:rPr>
      </w:pPr>
    </w:p>
    <w:p w14:paraId="4957FB25" w14:textId="77777777" w:rsidR="00C16FAD" w:rsidRDefault="00C16FAD" w:rsidP="00AF179A">
      <w:pPr>
        <w:jc w:val="both"/>
        <w:rPr>
          <w:rFonts w:ascii="Garamond" w:hAnsi="Garamond"/>
          <w:b/>
          <w:bCs/>
          <w:u w:val="single"/>
          <w:lang w:val="en-GB"/>
        </w:rPr>
      </w:pPr>
    </w:p>
    <w:p w14:paraId="7AE542CD" w14:textId="77777777" w:rsidR="00C16FAD" w:rsidRDefault="00C16FAD" w:rsidP="00AF179A">
      <w:pPr>
        <w:jc w:val="both"/>
        <w:rPr>
          <w:rFonts w:ascii="Garamond" w:hAnsi="Garamond"/>
          <w:b/>
          <w:bCs/>
          <w:u w:val="single"/>
          <w:lang w:val="en-GB"/>
        </w:rPr>
      </w:pPr>
    </w:p>
    <w:p w14:paraId="5124B069" w14:textId="77777777" w:rsidR="001B0A5C" w:rsidRDefault="001B0A5C" w:rsidP="00AF179A">
      <w:pPr>
        <w:jc w:val="both"/>
        <w:rPr>
          <w:rFonts w:ascii="Garamond" w:hAnsi="Garamond"/>
          <w:lang w:val="en-GB"/>
        </w:rPr>
      </w:pPr>
    </w:p>
    <w:p w14:paraId="4DED0EC6" w14:textId="35598C48" w:rsidR="00AF179A" w:rsidRDefault="00AF179A" w:rsidP="00E44FB5">
      <w:pPr>
        <w:jc w:val="both"/>
        <w:rPr>
          <w:rFonts w:ascii="Garamond" w:hAnsi="Garamond"/>
          <w:b/>
          <w:bCs/>
          <w:color w:val="1F3864" w:themeColor="accent1" w:themeShade="80"/>
          <w:u w:val="single"/>
          <w:lang w:val="en-GB"/>
        </w:rPr>
      </w:pPr>
    </w:p>
    <w:p w14:paraId="6C2CF91E" w14:textId="77777777" w:rsidR="00AF179A" w:rsidRDefault="00AF179A" w:rsidP="00E44FB5">
      <w:pPr>
        <w:jc w:val="both"/>
        <w:rPr>
          <w:rFonts w:ascii="Garamond" w:hAnsi="Garamond"/>
          <w:b/>
          <w:bCs/>
          <w:color w:val="1F3864" w:themeColor="accent1" w:themeShade="80"/>
          <w:u w:val="single"/>
          <w:lang w:val="en-GB"/>
        </w:rPr>
      </w:pPr>
    </w:p>
    <w:p w14:paraId="718770EB" w14:textId="77777777" w:rsidR="00AF179A" w:rsidRDefault="00AF179A" w:rsidP="00E44FB5">
      <w:pPr>
        <w:jc w:val="both"/>
        <w:rPr>
          <w:rFonts w:ascii="Garamond" w:hAnsi="Garamond"/>
          <w:b/>
          <w:bCs/>
          <w:color w:val="1F3864" w:themeColor="accent1" w:themeShade="80"/>
          <w:u w:val="single"/>
          <w:lang w:val="en-GB"/>
        </w:rPr>
      </w:pPr>
    </w:p>
    <w:p w14:paraId="50571815" w14:textId="77777777" w:rsidR="00AF179A" w:rsidRDefault="00AF179A" w:rsidP="00E44FB5">
      <w:pPr>
        <w:jc w:val="both"/>
        <w:rPr>
          <w:rFonts w:ascii="Garamond" w:hAnsi="Garamond"/>
          <w:b/>
          <w:bCs/>
          <w:color w:val="1F3864" w:themeColor="accent1" w:themeShade="80"/>
          <w:u w:val="single"/>
          <w:lang w:val="en-GB"/>
        </w:rPr>
      </w:pPr>
    </w:p>
    <w:p w14:paraId="1B5AABD1" w14:textId="77777777" w:rsidR="00AF179A" w:rsidRDefault="00AF179A" w:rsidP="00E44FB5">
      <w:pPr>
        <w:jc w:val="both"/>
        <w:rPr>
          <w:rFonts w:ascii="Garamond" w:hAnsi="Garamond"/>
          <w:b/>
          <w:bCs/>
          <w:color w:val="1F3864" w:themeColor="accent1" w:themeShade="80"/>
          <w:u w:val="single"/>
          <w:lang w:val="en-GB"/>
        </w:rPr>
      </w:pPr>
    </w:p>
    <w:p w14:paraId="04527D8E" w14:textId="77777777" w:rsidR="00AF179A" w:rsidRDefault="00AF179A" w:rsidP="00E44FB5">
      <w:pPr>
        <w:jc w:val="both"/>
        <w:rPr>
          <w:rFonts w:ascii="Garamond" w:hAnsi="Garamond"/>
          <w:b/>
          <w:bCs/>
          <w:color w:val="1F3864" w:themeColor="accent1" w:themeShade="80"/>
          <w:u w:val="single"/>
          <w:lang w:val="en-GB"/>
        </w:rPr>
      </w:pPr>
    </w:p>
    <w:p w14:paraId="123A7A04" w14:textId="77777777" w:rsidR="00AF179A" w:rsidRDefault="00AF179A" w:rsidP="00E44FB5">
      <w:pPr>
        <w:jc w:val="both"/>
        <w:rPr>
          <w:rFonts w:ascii="Garamond" w:hAnsi="Garamond"/>
          <w:b/>
          <w:bCs/>
          <w:color w:val="1F3864" w:themeColor="accent1" w:themeShade="80"/>
          <w:u w:val="single"/>
          <w:lang w:val="en-GB"/>
        </w:rPr>
      </w:pPr>
    </w:p>
    <w:p w14:paraId="6AE9DAE3" w14:textId="77777777" w:rsidR="00AF179A" w:rsidRDefault="00AF179A" w:rsidP="00E44FB5">
      <w:pPr>
        <w:pBdr>
          <w:bottom w:val="single" w:sz="6" w:space="1" w:color="auto"/>
        </w:pBdr>
        <w:jc w:val="both"/>
        <w:rPr>
          <w:rFonts w:ascii="Garamond" w:hAnsi="Garamond"/>
          <w:b/>
          <w:bCs/>
          <w:color w:val="1F3864" w:themeColor="accent1" w:themeShade="80"/>
          <w:u w:val="single"/>
          <w:lang w:val="en-GB"/>
        </w:rPr>
      </w:pPr>
    </w:p>
    <w:p w14:paraId="19316B78" w14:textId="77777777" w:rsidR="00AF179A" w:rsidRDefault="00AF179A" w:rsidP="00E44FB5">
      <w:pPr>
        <w:jc w:val="both"/>
        <w:rPr>
          <w:rFonts w:ascii="Garamond" w:hAnsi="Garamond"/>
          <w:b/>
          <w:bCs/>
          <w:color w:val="1F3864" w:themeColor="accent1" w:themeShade="80"/>
          <w:u w:val="single"/>
          <w:lang w:val="en-GB"/>
        </w:rPr>
      </w:pPr>
    </w:p>
    <w:p w14:paraId="7D4EAD90" w14:textId="77777777" w:rsidR="00AF179A" w:rsidRDefault="00AF179A" w:rsidP="00E44FB5">
      <w:pPr>
        <w:jc w:val="both"/>
        <w:rPr>
          <w:rFonts w:ascii="Garamond" w:hAnsi="Garamond"/>
          <w:b/>
          <w:bCs/>
          <w:color w:val="1F3864" w:themeColor="accent1" w:themeShade="80"/>
          <w:u w:val="single"/>
          <w:lang w:val="en-GB"/>
        </w:rPr>
      </w:pPr>
    </w:p>
    <w:p w14:paraId="79C0C700" w14:textId="77777777" w:rsidR="00E44FB5" w:rsidRPr="00E44FB5" w:rsidRDefault="00E44FB5" w:rsidP="00E44FB5">
      <w:pPr>
        <w:jc w:val="both"/>
        <w:rPr>
          <w:rFonts w:ascii="Garamond" w:hAnsi="Garamond"/>
          <w:lang w:val="en-GB"/>
        </w:rPr>
      </w:pPr>
    </w:p>
    <w:sectPr w:rsidR="00E44FB5" w:rsidRPr="00E4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80403030109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4C"/>
    <w:rsid w:val="0000075A"/>
    <w:rsid w:val="00007D65"/>
    <w:rsid w:val="001B0A5C"/>
    <w:rsid w:val="00727697"/>
    <w:rsid w:val="007A4A4C"/>
    <w:rsid w:val="00AD63A5"/>
    <w:rsid w:val="00AF179A"/>
    <w:rsid w:val="00B128FE"/>
    <w:rsid w:val="00C16FAD"/>
    <w:rsid w:val="00C40C6C"/>
    <w:rsid w:val="00D93CFD"/>
    <w:rsid w:val="00DF6946"/>
    <w:rsid w:val="00E44FB5"/>
    <w:rsid w:val="00EB5D8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6D68C6E3"/>
  <w15:chartTrackingRefBased/>
  <w15:docId w15:val="{A6BF5699-9FE2-1D4F-9DCC-5D45E54D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B5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5D86"/>
    <w:rPr>
      <w:rFonts w:asciiTheme="majorHAnsi" w:eastAsiaTheme="majorEastAsia" w:hAnsiTheme="majorHAnsi" w:cstheme="majorBidi"/>
      <w:color w:val="1F3763" w:themeColor="accent1" w:themeShade="7F"/>
    </w:rPr>
  </w:style>
  <w:style w:type="character" w:styleId="IntenseEmphasis">
    <w:name w:val="Intense Emphasis"/>
    <w:basedOn w:val="DefaultParagraphFont"/>
    <w:uiPriority w:val="21"/>
    <w:qFormat/>
    <w:rsid w:val="00E44FB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Letitia Roman</dc:creator>
  <cp:lastModifiedBy>Letitia Roman</cp:lastModifiedBy>
  <cp:revision>4</cp:revision>
  <dcterms:created xsi:type="dcterms:W3CDTF">2022-11-09T12:51:00Z</dcterms:created>
  <dcterms:modified xsi:type="dcterms:W3CDTF">2022-11-26T15:07:00Z</dcterms:modified>
</cp:coreProperties>
</file>